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2BC" w:rsidRPr="00AF1598" w:rsidRDefault="009A04D2" w:rsidP="009A04D2">
      <w:pPr>
        <w:spacing w:after="0"/>
        <w:ind w:left="-1039"/>
        <w:rPr>
          <w:rFonts w:ascii="Times New Roman" w:eastAsia="Times New Roman" w:hAnsi="Times New Roman" w:cs="B Titr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</w:rPr>
        <w:t>ناهید طغرلی</w:t>
      </w:r>
    </w:p>
    <w:tbl>
      <w:tblPr>
        <w:tblStyle w:val="TableGrid"/>
        <w:bidiVisual/>
        <w:tblW w:w="5030" w:type="pct"/>
        <w:jc w:val="center"/>
        <w:tblLook w:val="04A0" w:firstRow="1" w:lastRow="0" w:firstColumn="1" w:lastColumn="0" w:noHBand="0" w:noVBand="1"/>
      </w:tblPr>
      <w:tblGrid>
        <w:gridCol w:w="663"/>
        <w:gridCol w:w="6022"/>
        <w:gridCol w:w="1282"/>
        <w:gridCol w:w="1103"/>
      </w:tblGrid>
      <w:tr w:rsidR="009A04D2" w:rsidRPr="00AF1598" w:rsidTr="009A04D2">
        <w:trPr>
          <w:jc w:val="center"/>
        </w:trPr>
        <w:tc>
          <w:tcPr>
            <w:tcW w:w="365" w:type="pct"/>
            <w:shd w:val="clear" w:color="auto" w:fill="auto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hyperlink r:id="rId7" w:tooltip="Click here to sort" w:history="1">
              <w:r w:rsidRPr="00AF1598">
                <w:rPr>
                  <w:rFonts w:ascii="Times New Roman" w:eastAsia="Times New Roman" w:hAnsi="Times New Roman" w:cs="B Nazanin"/>
                  <w:b/>
                  <w:bCs/>
                  <w:rtl/>
                </w:rPr>
                <w:t>ردیف</w:t>
              </w:r>
            </w:hyperlink>
          </w:p>
        </w:tc>
        <w:tc>
          <w:tcPr>
            <w:tcW w:w="3320" w:type="pct"/>
            <w:shd w:val="clear" w:color="auto" w:fill="auto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Titr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Titr" w:hint="cs"/>
                <w:b/>
                <w:bCs/>
                <w:rtl/>
              </w:rPr>
              <w:t>مهارتهای ادراکی و عملکردی مشترک شغلی</w:t>
            </w:r>
          </w:p>
        </w:tc>
        <w:tc>
          <w:tcPr>
            <w:tcW w:w="707" w:type="pct"/>
            <w:shd w:val="clear" w:color="auto" w:fill="auto"/>
            <w:noWrap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Nazanin"/>
                <w:b/>
                <w:bCs/>
                <w:rtl/>
              </w:rPr>
              <w:t>سقف امتیاز</w:t>
            </w:r>
          </w:p>
        </w:tc>
        <w:tc>
          <w:tcPr>
            <w:tcW w:w="608" w:type="pct"/>
          </w:tcPr>
          <w:p w:rsidR="009A04D2" w:rsidRPr="00AF1598" w:rsidRDefault="009A04D2" w:rsidP="0032481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امتیاز </w:t>
            </w: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1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میزان تسلط به وظایف و اشراف به فرایندهای کاری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2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دقت و سرعت در انجام خلاقانه وظایف و فعالیت های اداری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3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بکارگیری ابزارها و فناوری های جدید در جهت بهبود فعالیت های شغلی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4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میزان بکارگیری مهارت های شغلی در امر بهبود کیفی فعالیت های حوزه ذیرب</w:t>
            </w:r>
            <w:r w:rsidRPr="00AF1598">
              <w:rPr>
                <w:rFonts w:ascii="Times New Roman" w:eastAsia="Times New Roman" w:hAnsi="Times New Roman" w:cs="B Nazanin" w:hint="cs"/>
                <w:rtl/>
              </w:rPr>
              <w:t>ط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5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ارائه نظرات مشورتی و راهنمایی های تخصصی شغلی به مسئول مافوق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6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رعایت سلسله مراتب اداری در انجام فرایند کار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7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همکاری و همفکری با مسئول مافوق برای تدوین و تنظیم به موقع برنامه ها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8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شرکت فعالانه در جلسات مشورتی و کارشناسی حوزه مربوطه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9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پشتکار ، جدیت و علاقه مندی برای پیگیری و انجام امور مرتبط با حوزه کاری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9D9D9" w:themeFill="background1" w:themeFillShade="D9"/>
            <w:hideMark/>
          </w:tcPr>
          <w:p w:rsidR="009A04D2" w:rsidRPr="00AF1598" w:rsidRDefault="009A04D2" w:rsidP="00CC2AEC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10</w:t>
            </w:r>
          </w:p>
        </w:tc>
        <w:tc>
          <w:tcPr>
            <w:tcW w:w="3320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انجام به موقع مکاتبات و پیگیری تا حصول نتیجه</w:t>
            </w:r>
          </w:p>
        </w:tc>
        <w:tc>
          <w:tcPr>
            <w:tcW w:w="707" w:type="pct"/>
            <w:shd w:val="clear" w:color="auto" w:fill="D9D9D9" w:themeFill="background1" w:themeFillShade="D9"/>
            <w:hideMark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  <w:shd w:val="clear" w:color="auto" w:fill="D9D9D9" w:themeFill="background1" w:themeFillShade="D9"/>
          </w:tcPr>
          <w:p w:rsidR="009A04D2" w:rsidRPr="00AF1598" w:rsidRDefault="009A04D2" w:rsidP="009626B1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hyperlink r:id="rId8" w:tooltip="Click here to sort" w:history="1">
              <w:r w:rsidRPr="00AF1598">
                <w:rPr>
                  <w:rFonts w:ascii="Times New Roman" w:eastAsia="Times New Roman" w:hAnsi="Times New Roman" w:cs="B Nazanin"/>
                  <w:b/>
                  <w:bCs/>
                  <w:rtl/>
                </w:rPr>
                <w:t>ردیف</w:t>
              </w:r>
            </w:hyperlink>
          </w:p>
        </w:tc>
        <w:tc>
          <w:tcPr>
            <w:tcW w:w="3320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Titr" w:hint="cs"/>
                <w:b/>
                <w:bCs/>
                <w:rtl/>
              </w:rPr>
              <w:t>تعظیم شعائر اسلامی / انضباط اداری و تکریم ارباب رجوع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سقف</w:t>
            </w:r>
          </w:p>
        </w:tc>
        <w:tc>
          <w:tcPr>
            <w:tcW w:w="608" w:type="pct"/>
          </w:tcPr>
          <w:p w:rsidR="009A04D2" w:rsidRPr="00AF1598" w:rsidRDefault="009A04D2" w:rsidP="0032481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امتیاز </w:t>
            </w: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1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تکریم و پایبندی به ارزش های دینی و ملی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2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حفظ شئونات فرهنگی و اجتماعی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3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رعایت قوانین و مقررات سازمانی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4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برخورداری از روحیه تعامل انسانی و متانت رفتار در برخورد با همکاران و مراجعین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5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تلاش و احساس مسئولیت در جهت رفع مشکل همکاران و مراجعین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6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انعطاف پذیری و قابلیت سازگاری در محیط کار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7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انتقادپذیری و برخورداری از روحیه پذیرش نقد سازنده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8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مسئولیت پذیری و وفاداری به مصالح دانشگاه و اهداف آن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5/2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9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تأخیر در ورود و تعجیل در خروج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صفر  تا 12-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10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غیبت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صفر تا 15-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11</w:t>
            </w:r>
          </w:p>
        </w:tc>
        <w:tc>
          <w:tcPr>
            <w:tcW w:w="3320" w:type="pct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میزان نارضایتی مراجعین</w:t>
            </w:r>
          </w:p>
        </w:tc>
        <w:tc>
          <w:tcPr>
            <w:tcW w:w="707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دارد (درصد)</w:t>
            </w:r>
          </w:p>
        </w:tc>
        <w:tc>
          <w:tcPr>
            <w:tcW w:w="608" w:type="pct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0CECE" w:themeFill="background2" w:themeFillShade="E6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hyperlink r:id="rId9" w:tooltip="Click here to sort" w:history="1">
              <w:r w:rsidRPr="00AF1598">
                <w:rPr>
                  <w:rFonts w:ascii="Times New Roman" w:eastAsia="Times New Roman" w:hAnsi="Times New Roman" w:cs="B Nazanin"/>
                  <w:b/>
                  <w:bCs/>
                  <w:rtl/>
                </w:rPr>
                <w:t>ردیف</w:t>
              </w:r>
            </w:hyperlink>
          </w:p>
        </w:tc>
        <w:tc>
          <w:tcPr>
            <w:tcW w:w="3320" w:type="pct"/>
            <w:shd w:val="clear" w:color="auto" w:fill="D0CECE" w:themeFill="background2" w:themeFillShade="E6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Titr" w:hint="cs"/>
                <w:b/>
                <w:bCs/>
                <w:rtl/>
              </w:rPr>
              <w:t>آثار و تالیفات</w:t>
            </w:r>
          </w:p>
        </w:tc>
        <w:tc>
          <w:tcPr>
            <w:tcW w:w="707" w:type="pct"/>
            <w:shd w:val="clear" w:color="auto" w:fill="D0CECE" w:themeFill="background2" w:themeFillShade="E6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سقف</w:t>
            </w:r>
          </w:p>
        </w:tc>
        <w:tc>
          <w:tcPr>
            <w:tcW w:w="608" w:type="pct"/>
            <w:shd w:val="clear" w:color="auto" w:fill="D0CECE" w:themeFill="background2" w:themeFillShade="E6"/>
          </w:tcPr>
          <w:p w:rsidR="009A04D2" w:rsidRPr="00AF1598" w:rsidRDefault="009A04D2" w:rsidP="0032481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امتیاز </w:t>
            </w: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D0CECE" w:themeFill="background2" w:themeFillShade="E6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  <w:tc>
          <w:tcPr>
            <w:tcW w:w="3320" w:type="pct"/>
            <w:shd w:val="clear" w:color="auto" w:fill="D0CECE" w:themeFill="background2" w:themeFillShade="E6"/>
          </w:tcPr>
          <w:p w:rsidR="009A04D2" w:rsidRPr="00AF1598" w:rsidRDefault="009A04D2" w:rsidP="00962327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cs="B Nazanin"/>
                <w:rtl/>
              </w:rPr>
              <w:t>تهیه ، تدوین و ارائه گزارش های تخصصی مرتبط شغلی</w:t>
            </w:r>
            <w:r w:rsidRPr="00AF1598">
              <w:rPr>
                <w:rFonts w:ascii="Times New Roman" w:eastAsia="Times New Roman" w:hAnsi="Times New Roman" w:cs="B Nazanin" w:hint="cs"/>
                <w:rtl/>
              </w:rPr>
              <w:t xml:space="preserve"> </w:t>
            </w:r>
          </w:p>
        </w:tc>
        <w:tc>
          <w:tcPr>
            <w:tcW w:w="707" w:type="pct"/>
            <w:shd w:val="clear" w:color="auto" w:fill="D0CECE" w:themeFill="background2" w:themeFillShade="E6"/>
          </w:tcPr>
          <w:p w:rsidR="009A04D2" w:rsidRPr="00AF1598" w:rsidRDefault="009A04D2" w:rsidP="00A62798">
            <w:pPr>
              <w:jc w:val="center"/>
              <w:rPr>
                <w:rFonts w:ascii="Times New Roman" w:eastAsia="Times New Roman" w:hAnsi="Times New Roman" w:cs="B Nazanin"/>
                <w:u w:val="single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608" w:type="pct"/>
            <w:shd w:val="clear" w:color="auto" w:fill="D0CECE" w:themeFill="background2" w:themeFillShade="E6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auto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hyperlink r:id="rId10" w:tooltip="Click here to sort" w:history="1">
              <w:r w:rsidRPr="00AF1598">
                <w:rPr>
                  <w:rFonts w:ascii="Times New Roman" w:eastAsia="Times New Roman" w:hAnsi="Times New Roman" w:cs="B Nazanin"/>
                  <w:b/>
                  <w:bCs/>
                  <w:rtl/>
                </w:rPr>
                <w:t>ردیف</w:t>
              </w:r>
            </w:hyperlink>
          </w:p>
        </w:tc>
        <w:tc>
          <w:tcPr>
            <w:tcW w:w="3320" w:type="pct"/>
            <w:shd w:val="clear" w:color="auto" w:fill="auto"/>
          </w:tcPr>
          <w:p w:rsidR="009A04D2" w:rsidRPr="00403F21" w:rsidRDefault="009A04D2" w:rsidP="00962327">
            <w:pPr>
              <w:jc w:val="center"/>
              <w:rPr>
                <w:rFonts w:ascii="Times New Roman" w:eastAsia="Times New Roman" w:hAnsi="Times New Roman" w:cs="B Titr"/>
                <w:b/>
                <w:bCs/>
                <w:sz w:val="20"/>
                <w:szCs w:val="20"/>
                <w:rtl/>
              </w:rPr>
            </w:pPr>
            <w:r w:rsidRPr="00403F21">
              <w:rPr>
                <w:rFonts w:ascii="Times New Roman" w:eastAsia="Times New Roman" w:hAnsi="Times New Roman" w:cs="B Titr" w:hint="cs"/>
                <w:b/>
                <w:bCs/>
                <w:sz w:val="20"/>
                <w:szCs w:val="20"/>
                <w:rtl/>
              </w:rPr>
              <w:t>توسعه فردی،پیشنهادات،ابتکارات وآموزش همکاران ازطریق انتقال تجارب</w:t>
            </w:r>
          </w:p>
        </w:tc>
        <w:tc>
          <w:tcPr>
            <w:tcW w:w="707" w:type="pct"/>
            <w:shd w:val="clear" w:color="auto" w:fill="auto"/>
          </w:tcPr>
          <w:p w:rsidR="009A04D2" w:rsidRPr="00AF1598" w:rsidRDefault="009A04D2" w:rsidP="00962327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b/>
                <w:bCs/>
                <w:rtl/>
              </w:rPr>
              <w:t>سقف</w:t>
            </w:r>
          </w:p>
        </w:tc>
        <w:tc>
          <w:tcPr>
            <w:tcW w:w="608" w:type="pct"/>
            <w:shd w:val="clear" w:color="auto" w:fill="auto"/>
          </w:tcPr>
          <w:p w:rsidR="009A04D2" w:rsidRPr="00AF1598" w:rsidRDefault="009A04D2" w:rsidP="0032481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امتیاز </w:t>
            </w: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auto"/>
          </w:tcPr>
          <w:p w:rsidR="009A04D2" w:rsidRPr="00AF1598" w:rsidRDefault="009A04D2" w:rsidP="00A62798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1</w:t>
            </w:r>
          </w:p>
        </w:tc>
        <w:tc>
          <w:tcPr>
            <w:tcW w:w="3320" w:type="pct"/>
            <w:shd w:val="clear" w:color="auto" w:fill="auto"/>
          </w:tcPr>
          <w:p w:rsidR="009A04D2" w:rsidRPr="00AF1598" w:rsidRDefault="009A04D2" w:rsidP="00A62798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cs="B Nazanin"/>
                <w:rtl/>
              </w:rPr>
              <w:t xml:space="preserve">تلاش جهت افزایش سطح دانش و مهارت های </w:t>
            </w:r>
          </w:p>
        </w:tc>
        <w:tc>
          <w:tcPr>
            <w:tcW w:w="707" w:type="pct"/>
            <w:shd w:val="clear" w:color="auto" w:fill="auto"/>
          </w:tcPr>
          <w:p w:rsidR="009A04D2" w:rsidRDefault="009A04D2" w:rsidP="00A62798">
            <w:pPr>
              <w:jc w:val="center"/>
            </w:pPr>
            <w:r w:rsidRPr="00F9467E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608" w:type="pct"/>
            <w:shd w:val="clear" w:color="auto" w:fill="auto"/>
          </w:tcPr>
          <w:p w:rsidR="009A04D2" w:rsidRPr="00AF1598" w:rsidRDefault="009A04D2" w:rsidP="00A62798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65" w:type="pct"/>
            <w:shd w:val="clear" w:color="auto" w:fill="auto"/>
          </w:tcPr>
          <w:p w:rsidR="009A04D2" w:rsidRPr="00AF1598" w:rsidRDefault="009A04D2" w:rsidP="00A62798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3320" w:type="pct"/>
            <w:shd w:val="clear" w:color="auto" w:fill="auto"/>
          </w:tcPr>
          <w:p w:rsidR="009A04D2" w:rsidRPr="00AF1598" w:rsidRDefault="009A04D2" w:rsidP="00A62798">
            <w:pPr>
              <w:rPr>
                <w:rFonts w:cs="B Nazanin"/>
                <w:rtl/>
              </w:rPr>
            </w:pPr>
            <w:r w:rsidRPr="00AF1598">
              <w:rPr>
                <w:rFonts w:cs="B Nazanin"/>
                <w:rtl/>
              </w:rPr>
              <w:t>آموزش یا انتقال تجربیات به همکاران</w:t>
            </w:r>
            <w:r w:rsidRPr="00AF1598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707" w:type="pct"/>
            <w:shd w:val="clear" w:color="auto" w:fill="auto"/>
          </w:tcPr>
          <w:p w:rsidR="009A04D2" w:rsidRDefault="009A04D2" w:rsidP="00A62798">
            <w:pPr>
              <w:jc w:val="center"/>
            </w:pPr>
            <w:r w:rsidRPr="00F9467E">
              <w:rPr>
                <w:rFonts w:ascii="Times New Roman" w:eastAsia="Times New Roman" w:hAnsi="Times New Roman" w:cs="B Nazanin" w:hint="cs"/>
                <w:rtl/>
              </w:rPr>
              <w:t>2</w:t>
            </w:r>
          </w:p>
        </w:tc>
        <w:tc>
          <w:tcPr>
            <w:tcW w:w="608" w:type="pct"/>
            <w:shd w:val="clear" w:color="auto" w:fill="auto"/>
          </w:tcPr>
          <w:p w:rsidR="009A04D2" w:rsidRPr="00AF1598" w:rsidRDefault="009A04D2" w:rsidP="00A62798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:rsidR="00287F81" w:rsidRPr="005339AC" w:rsidRDefault="00B92FD4" w:rsidP="005339AC">
      <w:pPr>
        <w:spacing w:after="0"/>
        <w:ind w:left="-1039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5339AC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اختص</w:t>
      </w:r>
      <w:bookmarkStart w:id="0" w:name="_GoBack"/>
      <w:bookmarkEnd w:id="0"/>
      <w:r w:rsidRPr="005339AC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>اصی</w:t>
      </w:r>
    </w:p>
    <w:tbl>
      <w:tblPr>
        <w:tblStyle w:val="TableGrid"/>
        <w:bidiVisual/>
        <w:tblW w:w="5060" w:type="pct"/>
        <w:jc w:val="center"/>
        <w:tblLook w:val="04A0" w:firstRow="1" w:lastRow="0" w:firstColumn="1" w:lastColumn="0" w:noHBand="0" w:noVBand="1"/>
      </w:tblPr>
      <w:tblGrid>
        <w:gridCol w:w="633"/>
        <w:gridCol w:w="6374"/>
        <w:gridCol w:w="1119"/>
        <w:gridCol w:w="998"/>
      </w:tblGrid>
      <w:tr w:rsidR="009A04D2" w:rsidRPr="00AF1598" w:rsidTr="00340488">
        <w:trPr>
          <w:jc w:val="center"/>
        </w:trPr>
        <w:tc>
          <w:tcPr>
            <w:tcW w:w="335" w:type="pct"/>
            <w:shd w:val="clear" w:color="auto" w:fill="D0CECE" w:themeFill="background2" w:themeFillShade="E6"/>
            <w:hideMark/>
          </w:tcPr>
          <w:p w:rsidR="009A04D2" w:rsidRPr="00340488" w:rsidRDefault="009A04D2" w:rsidP="00B92FD4">
            <w:pPr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hyperlink r:id="rId11" w:tooltip="Click here to sort" w:history="1">
              <w:r w:rsidRPr="00340488">
                <w:rPr>
                  <w:rFonts w:ascii="Times New Roman" w:eastAsia="Times New Roman" w:hAnsi="Times New Roman" w:cs="B Nazanin"/>
                  <w:b/>
                  <w:bCs/>
                  <w:rtl/>
                </w:rPr>
                <w:t>ردیف</w:t>
              </w:r>
            </w:hyperlink>
          </w:p>
        </w:tc>
        <w:tc>
          <w:tcPr>
            <w:tcW w:w="3497" w:type="pct"/>
            <w:shd w:val="clear" w:color="auto" w:fill="D0CECE" w:themeFill="background2" w:themeFillShade="E6"/>
            <w:hideMark/>
          </w:tcPr>
          <w:p w:rsidR="009A04D2" w:rsidRPr="00340488" w:rsidRDefault="009A04D2" w:rsidP="00B92FD4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hyperlink r:id="rId12" w:tooltip="Click here to sort" w:history="1">
              <w:r w:rsidRPr="00340488">
                <w:rPr>
                  <w:rFonts w:ascii="Times New Roman" w:eastAsia="Times New Roman" w:hAnsi="Times New Roman" w:cs="B Nazanin"/>
                  <w:b/>
                  <w:bCs/>
                  <w:rtl/>
                </w:rPr>
                <w:t>عنوان شاخص</w:t>
              </w:r>
            </w:hyperlink>
          </w:p>
        </w:tc>
        <w:tc>
          <w:tcPr>
            <w:tcW w:w="617" w:type="pct"/>
            <w:shd w:val="clear" w:color="auto" w:fill="D0CECE" w:themeFill="background2" w:themeFillShade="E6"/>
            <w:noWrap/>
            <w:hideMark/>
          </w:tcPr>
          <w:p w:rsidR="009A04D2" w:rsidRPr="00340488" w:rsidRDefault="009A04D2" w:rsidP="00B92FD4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40488">
              <w:rPr>
                <w:rFonts w:ascii="Times New Roman" w:eastAsia="Times New Roman" w:hAnsi="Times New Roman" w:cs="B Nazanin"/>
                <w:b/>
                <w:bCs/>
                <w:rtl/>
              </w:rPr>
              <w:t>سقف امتیاز</w:t>
            </w:r>
          </w:p>
        </w:tc>
        <w:tc>
          <w:tcPr>
            <w:tcW w:w="551" w:type="pct"/>
            <w:shd w:val="clear" w:color="auto" w:fill="D0CECE" w:themeFill="background2" w:themeFillShade="E6"/>
          </w:tcPr>
          <w:p w:rsidR="009A04D2" w:rsidRPr="00340488" w:rsidRDefault="009A04D2" w:rsidP="0032481E">
            <w:pPr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340488">
              <w:rPr>
                <w:rFonts w:ascii="Times New Roman" w:eastAsia="Times New Roman" w:hAnsi="Times New Roman" w:cs="B Nazanin" w:hint="cs"/>
                <w:b/>
                <w:bCs/>
                <w:rtl/>
              </w:rPr>
              <w:t xml:space="preserve">امتیاز </w:t>
            </w: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1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برنامه ریزی و ساماندهی کانون های قرآن و عترت، نماز، حجاب و عفاف و مهدویت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2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برنامه ریزی و برگزاری مناسبتها و مراسمات و همکاری با کانون ها، هیات ها و مناسبتها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3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برگزاری نمایشگاه ها و نشست های دانشجویی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4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بررسی مسائل و مشکلات امور خوابگاه ها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5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برگزاری سخنرانی های علمی-مذهبی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6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برگزاری کلاس های آموزش قرآن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7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همکاری و هماهنگی جهت برگزاری دوره های حیات طیبه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8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همکاری و هماهنگی انجام ثبت نام ازدواج دانشجویی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9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برگزاری جلسات هم اندیشی اساتید گروه معارف و دوره های مرتبط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  <w:tr w:rsidR="009A04D2" w:rsidRPr="00AF1598" w:rsidTr="009A04D2">
        <w:trPr>
          <w:jc w:val="center"/>
        </w:trPr>
        <w:tc>
          <w:tcPr>
            <w:tcW w:w="335" w:type="pct"/>
            <w:hideMark/>
          </w:tcPr>
          <w:p w:rsidR="009A04D2" w:rsidRPr="00AF1598" w:rsidRDefault="009A04D2" w:rsidP="00B92FD4">
            <w:pPr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>10</w:t>
            </w:r>
          </w:p>
        </w:tc>
        <w:tc>
          <w:tcPr>
            <w:tcW w:w="3497" w:type="pct"/>
            <w:hideMark/>
          </w:tcPr>
          <w:p w:rsidR="009A04D2" w:rsidRPr="007C05DB" w:rsidRDefault="009A04D2" w:rsidP="00B92FD4">
            <w:pPr>
              <w:rPr>
                <w:rFonts w:cs="B Nazanin"/>
                <w:rtl/>
              </w:rPr>
            </w:pPr>
            <w:r w:rsidRPr="007C05DB">
              <w:rPr>
                <w:rFonts w:cs="B Nazanin"/>
                <w:rtl/>
              </w:rPr>
              <w:t>همکاری با امور فرهنگی جهت پیشبرد اهداف فرهنگی دانشگاه</w:t>
            </w:r>
          </w:p>
        </w:tc>
        <w:tc>
          <w:tcPr>
            <w:tcW w:w="617" w:type="pct"/>
            <w:hideMark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  <w:r w:rsidRPr="00AF1598">
              <w:rPr>
                <w:rFonts w:ascii="Times New Roman" w:eastAsia="Times New Roman" w:hAnsi="Times New Roman" w:cs="B Nazanin"/>
                <w:rtl/>
              </w:rPr>
              <w:t xml:space="preserve">3 </w:t>
            </w:r>
          </w:p>
        </w:tc>
        <w:tc>
          <w:tcPr>
            <w:tcW w:w="551" w:type="pct"/>
          </w:tcPr>
          <w:p w:rsidR="009A04D2" w:rsidRPr="00AF1598" w:rsidRDefault="009A04D2" w:rsidP="00B92FD4">
            <w:pPr>
              <w:jc w:val="center"/>
              <w:rPr>
                <w:rFonts w:ascii="Times New Roman" w:eastAsia="Times New Roman" w:hAnsi="Times New Roman" w:cs="B Nazanin"/>
                <w:rtl/>
              </w:rPr>
            </w:pPr>
          </w:p>
        </w:tc>
      </w:tr>
    </w:tbl>
    <w:p w:rsidR="00F9452F" w:rsidRPr="00AF1598" w:rsidRDefault="00F9452F">
      <w:pPr>
        <w:rPr>
          <w:rtl/>
        </w:rPr>
      </w:pPr>
    </w:p>
    <w:sectPr w:rsidR="00F9452F" w:rsidRPr="00AF1598" w:rsidSect="00F079BF">
      <w:pgSz w:w="11906" w:h="16838"/>
      <w:pgMar w:top="709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4CD" w:rsidRDefault="008F34CD" w:rsidP="00D71945">
      <w:pPr>
        <w:spacing w:after="0" w:line="240" w:lineRule="auto"/>
      </w:pPr>
      <w:r>
        <w:separator/>
      </w:r>
    </w:p>
  </w:endnote>
  <w:endnote w:type="continuationSeparator" w:id="0">
    <w:p w:rsidR="008F34CD" w:rsidRDefault="008F34CD" w:rsidP="00D71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4CD" w:rsidRDefault="008F34CD" w:rsidP="00D71945">
      <w:pPr>
        <w:spacing w:after="0" w:line="240" w:lineRule="auto"/>
      </w:pPr>
      <w:r>
        <w:separator/>
      </w:r>
    </w:p>
  </w:footnote>
  <w:footnote w:type="continuationSeparator" w:id="0">
    <w:p w:rsidR="008F34CD" w:rsidRDefault="008F34CD" w:rsidP="00D71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7235F"/>
    <w:multiLevelType w:val="hybridMultilevel"/>
    <w:tmpl w:val="BD808862"/>
    <w:lvl w:ilvl="0" w:tplc="D42E9A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9DF"/>
    <w:rsid w:val="0003197E"/>
    <w:rsid w:val="002330AA"/>
    <w:rsid w:val="00240C9A"/>
    <w:rsid w:val="00287F81"/>
    <w:rsid w:val="0032481E"/>
    <w:rsid w:val="00340488"/>
    <w:rsid w:val="00400A15"/>
    <w:rsid w:val="00403F21"/>
    <w:rsid w:val="004D74E3"/>
    <w:rsid w:val="004E1AA3"/>
    <w:rsid w:val="00515EC0"/>
    <w:rsid w:val="005171BD"/>
    <w:rsid w:val="005339AC"/>
    <w:rsid w:val="005758B4"/>
    <w:rsid w:val="006828C2"/>
    <w:rsid w:val="00715D43"/>
    <w:rsid w:val="007C05DB"/>
    <w:rsid w:val="00801CA5"/>
    <w:rsid w:val="008816FE"/>
    <w:rsid w:val="008A6EBA"/>
    <w:rsid w:val="008F34CD"/>
    <w:rsid w:val="00900DF9"/>
    <w:rsid w:val="00962327"/>
    <w:rsid w:val="009626B1"/>
    <w:rsid w:val="00991863"/>
    <w:rsid w:val="00991E08"/>
    <w:rsid w:val="009A04D2"/>
    <w:rsid w:val="009A39DF"/>
    <w:rsid w:val="009E67C1"/>
    <w:rsid w:val="00A32715"/>
    <w:rsid w:val="00A52F40"/>
    <w:rsid w:val="00A62798"/>
    <w:rsid w:val="00A81A2B"/>
    <w:rsid w:val="00AC7A02"/>
    <w:rsid w:val="00AD757D"/>
    <w:rsid w:val="00AF1598"/>
    <w:rsid w:val="00B92FD4"/>
    <w:rsid w:val="00B94296"/>
    <w:rsid w:val="00BD4F6B"/>
    <w:rsid w:val="00BE42BC"/>
    <w:rsid w:val="00BE4D01"/>
    <w:rsid w:val="00C02CFB"/>
    <w:rsid w:val="00CC2AEC"/>
    <w:rsid w:val="00CE1A46"/>
    <w:rsid w:val="00D43E9F"/>
    <w:rsid w:val="00D71945"/>
    <w:rsid w:val="00E547B9"/>
    <w:rsid w:val="00EA6446"/>
    <w:rsid w:val="00F079BF"/>
    <w:rsid w:val="00F9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3E127"/>
  <w15:chartTrackingRefBased/>
  <w15:docId w15:val="{8A1875EA-999E-4BBF-8525-4EA3D0FB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9DF"/>
    <w:rPr>
      <w:color w:val="0000FF"/>
      <w:u w:val="single"/>
    </w:rPr>
  </w:style>
  <w:style w:type="table" w:styleId="TableGrid">
    <w:name w:val="Table Grid"/>
    <w:basedOn w:val="TableNormal"/>
    <w:uiPriority w:val="39"/>
    <w:rsid w:val="009A3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isingle">
    <w:name w:val="risingle"/>
    <w:basedOn w:val="DefaultParagraphFont"/>
    <w:rsid w:val="00B94296"/>
  </w:style>
  <w:style w:type="character" w:customStyle="1" w:styleId="infotext">
    <w:name w:val="infotext"/>
    <w:basedOn w:val="DefaultParagraphFont"/>
    <w:rsid w:val="00801CA5"/>
  </w:style>
  <w:style w:type="paragraph" w:styleId="ListParagraph">
    <w:name w:val="List Paragraph"/>
    <w:basedOn w:val="Normal"/>
    <w:uiPriority w:val="34"/>
    <w:qFormat/>
    <w:rsid w:val="005171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945"/>
  </w:style>
  <w:style w:type="paragraph" w:styleId="Footer">
    <w:name w:val="footer"/>
    <w:basedOn w:val="Normal"/>
    <w:link w:val="FooterChar"/>
    <w:uiPriority w:val="99"/>
    <w:unhideWhenUsed/>
    <w:rsid w:val="00D719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945"/>
  </w:style>
  <w:style w:type="paragraph" w:styleId="BalloonText">
    <w:name w:val="Balloon Text"/>
    <w:basedOn w:val="Normal"/>
    <w:link w:val="BalloonTextChar"/>
    <w:uiPriority w:val="99"/>
    <w:semiHidden/>
    <w:unhideWhenUsed/>
    <w:rsid w:val="00D71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9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RadGrid1$ctl00$ctl06$Detail10$ctl02$ctl02$ctl00','')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__doPostBack('ctl00$ContentPlaceHolder1$RadGrid1$ctl00$ctl06$Detail10$ctl02$ctl02$ctl00','')" TargetMode="External"/><Relationship Id="rId12" Type="http://schemas.openxmlformats.org/officeDocument/2006/relationships/hyperlink" Target="javascript:__doPostBack('ctl00$ContentPlaceHolder1$RadGrid1$ctl00$ctl06$Detail10$ctl02$ctl02$ctl01',''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__doPostBack('ctl00$ContentPlaceHolder1$RadGrid1$ctl00$ctl06$Detail10$ctl02$ctl02$ctl00','')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__doPostBack('ctl00$ContentPlaceHolder1$RadGrid1$ctl00$ctl06$Detail10$ctl02$ctl02$ctl00','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ContentPlaceHolder1$RadGrid1$ctl00$ctl06$Detail10$ctl02$ctl02$ctl00',''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</dc:creator>
  <cp:keywords/>
  <dc:description/>
  <cp:lastModifiedBy>Pars</cp:lastModifiedBy>
  <cp:revision>42</cp:revision>
  <cp:lastPrinted>2016-11-08T06:24:00Z</cp:lastPrinted>
  <dcterms:created xsi:type="dcterms:W3CDTF">2016-10-26T05:43:00Z</dcterms:created>
  <dcterms:modified xsi:type="dcterms:W3CDTF">2016-11-19T04:35:00Z</dcterms:modified>
</cp:coreProperties>
</file>